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44D2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proofErr w:type="gramStart"/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[ </w:t>
      </w:r>
      <w:r w:rsidR="00A237C7"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Expéditeur</w:t>
      </w:r>
      <w:proofErr w:type="gramEnd"/>
      <w:r w:rsidR="00A237C7"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 :</w:t>
      </w:r>
      <w:r w:rsid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 nom, institution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/organisation,</w:t>
      </w:r>
    </w:p>
    <w:p w14:paraId="3A7D1E1B" w14:textId="77777777" w:rsidR="00BB4EAC" w:rsidRPr="00A237C7" w:rsidRDefault="00A237C7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proofErr w:type="gramStart"/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papier</w:t>
      </w:r>
      <w:proofErr w:type="gramEnd"/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 en-tête de l’organisation si possible</w:t>
      </w:r>
    </w:p>
    <w:p w14:paraId="6CF8C846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Adress</w:t>
      </w:r>
      <w:r w:rsid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e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 xml:space="preserve">, </w:t>
      </w:r>
      <w:r w:rsid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pays</w:t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]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  <w:t xml:space="preserve"> 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ab/>
      </w:r>
      <w:r w:rsidRPr="00A237C7">
        <w:rPr>
          <w:rFonts w:asciiTheme="majorHAnsi" w:eastAsia="Calibri" w:hAnsiTheme="majorHAnsi" w:cstheme="majorHAnsi"/>
          <w:bCs/>
          <w:color w:val="808080" w:themeColor="background1" w:themeShade="80"/>
          <w:lang w:val="fr-FR" w:eastAsia="da-DK"/>
        </w:rPr>
        <w:t>[date                ]</w:t>
      </w:r>
    </w:p>
    <w:p w14:paraId="1F2816CC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</w:p>
    <w:p w14:paraId="5FFF6334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</w:p>
    <w:p w14:paraId="638DAC96" w14:textId="77777777" w:rsidR="00BB4EAC" w:rsidRPr="00A237C7" w:rsidRDefault="00AC5E5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Direction Générale de la Commission Européenne</w:t>
      </w:r>
      <w:r w:rsidR="00BB4EAC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 </w:t>
      </w:r>
    </w:p>
    <w:p w14:paraId="4D22E982" w14:textId="77777777" w:rsidR="00BB4EAC" w:rsidRPr="00A237C7" w:rsidRDefault="00EC266F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Unité </w:t>
      </w:r>
      <w:r w:rsidR="00BB4EAC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SANTE E.4 – </w:t>
      </w:r>
    </w:p>
    <w:p w14:paraId="4F64F319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Pesticides </w:t>
      </w:r>
      <w:r w:rsidR="00EC266F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et </w:t>
      </w: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 xml:space="preserve">Biocides F101 05/068 </w:t>
      </w:r>
    </w:p>
    <w:p w14:paraId="6ECEDBDF" w14:textId="77777777" w:rsidR="00BB4EAC" w:rsidRPr="00A237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fr-FR" w:eastAsia="da-DK"/>
        </w:rPr>
      </w:pPr>
      <w:r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1049 Bru</w:t>
      </w:r>
      <w:r w:rsidR="00EC266F" w:rsidRPr="00A237C7">
        <w:rPr>
          <w:rFonts w:asciiTheme="majorHAnsi" w:eastAsia="Calibri" w:hAnsiTheme="majorHAnsi" w:cstheme="majorHAnsi"/>
          <w:bCs/>
          <w:color w:val="000000"/>
          <w:lang w:val="fr-FR" w:eastAsia="da-DK"/>
        </w:rPr>
        <w:t>xelles</w:t>
      </w:r>
    </w:p>
    <w:p w14:paraId="10D5F965" w14:textId="77777777" w:rsidR="00BB4EAC" w:rsidRPr="00A237C7" w:rsidRDefault="00BB4EAC" w:rsidP="00BB4EAC">
      <w:pPr>
        <w:pStyle w:val="Titre1"/>
        <w:spacing w:before="0"/>
        <w:rPr>
          <w:rFonts w:cstheme="majorHAnsi"/>
          <w:sz w:val="22"/>
          <w:szCs w:val="22"/>
          <w:lang w:val="fr-FR"/>
        </w:rPr>
      </w:pPr>
      <w:r w:rsidRPr="00A237C7">
        <w:rPr>
          <w:rFonts w:eastAsia="Calibri" w:cstheme="majorHAnsi"/>
          <w:bCs/>
          <w:color w:val="auto"/>
          <w:sz w:val="22"/>
          <w:szCs w:val="22"/>
          <w:lang w:val="fr-FR" w:eastAsia="da-DK"/>
        </w:rPr>
        <w:t>Belgi</w:t>
      </w:r>
      <w:r w:rsidR="00EC266F" w:rsidRPr="00A237C7">
        <w:rPr>
          <w:rFonts w:eastAsia="Calibri" w:cstheme="majorHAnsi"/>
          <w:bCs/>
          <w:color w:val="auto"/>
          <w:sz w:val="22"/>
          <w:szCs w:val="22"/>
          <w:lang w:val="fr-FR" w:eastAsia="da-DK"/>
        </w:rPr>
        <w:t>que</w:t>
      </w:r>
    </w:p>
    <w:p w14:paraId="7BCD4312" w14:textId="77777777" w:rsidR="00BB4EAC" w:rsidRPr="00A237C7" w:rsidRDefault="00BB4EAC" w:rsidP="00BB4EAC">
      <w:pPr>
        <w:pStyle w:val="Titre2"/>
        <w:rPr>
          <w:b/>
          <w:lang w:val="fr-FR"/>
        </w:rPr>
      </w:pPr>
    </w:p>
    <w:p w14:paraId="0C931043" w14:textId="77777777" w:rsidR="00EC266F" w:rsidRPr="00A237C7" w:rsidRDefault="00EC266F" w:rsidP="00281153">
      <w:pPr>
        <w:pStyle w:val="Titre2"/>
        <w:jc w:val="both"/>
        <w:rPr>
          <w:b/>
          <w:lang w:val="fr-FR"/>
        </w:rPr>
      </w:pPr>
      <w:r>
        <w:rPr>
          <w:b/>
          <w:lang w:val="fr-FR"/>
        </w:rPr>
        <w:t xml:space="preserve">Recours </w:t>
      </w:r>
      <w:r w:rsidRPr="00A237C7">
        <w:rPr>
          <w:b/>
          <w:lang w:val="fr-FR"/>
        </w:rPr>
        <w:t>pour les collections du patrimoine culturel : Permettre une dérogation à l'interdiction de l'azote</w:t>
      </w:r>
      <w:r>
        <w:rPr>
          <w:b/>
          <w:lang w:val="fr-FR"/>
        </w:rPr>
        <w:t xml:space="preserve"> </w:t>
      </w:r>
      <w:r w:rsidRPr="00A237C7">
        <w:rPr>
          <w:b/>
          <w:lang w:val="fr-FR"/>
        </w:rPr>
        <w:t>(EU 528/2012)</w:t>
      </w:r>
    </w:p>
    <w:p w14:paraId="00E3A499" w14:textId="77777777" w:rsidR="00EC266F" w:rsidRPr="00281153" w:rsidRDefault="00EC266F" w:rsidP="00281153">
      <w:pPr>
        <w:pStyle w:val="Titre2"/>
        <w:jc w:val="both"/>
        <w:rPr>
          <w:rFonts w:eastAsiaTheme="minorHAnsi" w:cstheme="majorHAnsi"/>
          <w:color w:val="auto"/>
          <w:sz w:val="24"/>
          <w:szCs w:val="24"/>
          <w:lang w:val="fr-FR"/>
        </w:rPr>
      </w:pPr>
    </w:p>
    <w:p w14:paraId="7E39EBFE" w14:textId="77777777" w:rsidR="00FC39D0" w:rsidRPr="00A237C7" w:rsidRDefault="00FC39D0" w:rsidP="00FC39D0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Les institutions de mémoire, les musées et les monuments </w:t>
      </w:r>
      <w:r>
        <w:rPr>
          <w:rFonts w:asciiTheme="majorHAnsi" w:hAnsiTheme="majorHAnsi" w:cstheme="majorHAnsi"/>
          <w:sz w:val="24"/>
          <w:szCs w:val="24"/>
          <w:lang w:val="fr-FR"/>
        </w:rPr>
        <w:t>voient leurs collections ou leurs parties constituantes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fréquemment menacés par des espèces nuisibles en raison de diverses formes de contamination et des </w:t>
      </w:r>
      <w:r>
        <w:rPr>
          <w:rFonts w:asciiTheme="majorHAnsi" w:hAnsiTheme="majorHAnsi" w:cstheme="majorHAnsi"/>
          <w:sz w:val="24"/>
          <w:szCs w:val="24"/>
          <w:lang w:val="fr-FR"/>
        </w:rPr>
        <w:t>variations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climatiques.</w:t>
      </w:r>
    </w:p>
    <w:p w14:paraId="0F1F7D57" w14:textId="77777777" w:rsidR="00FC39D0" w:rsidRPr="00A237C7" w:rsidRDefault="00FC39D0" w:rsidP="00FC39D0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L'une des méthodes les plus polyvalentes et les plus respectueuses de l'environnement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pour la désinfestation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anti-insecte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des objets du patrimoine culturel</w:t>
      </w:r>
      <w:r>
        <w:rPr>
          <w:rFonts w:asciiTheme="majorHAnsi" w:hAnsiTheme="majorHAnsi" w:cstheme="majorHAnsi"/>
          <w:sz w:val="24"/>
          <w:szCs w:val="24"/>
          <w:lang w:val="fr-FR"/>
        </w:rPr>
        <w:t>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évitant l'utilisation de produits chimiques dangereux</w:t>
      </w:r>
      <w:r>
        <w:rPr>
          <w:rFonts w:asciiTheme="majorHAnsi" w:hAnsiTheme="majorHAnsi" w:cstheme="majorHAnsi"/>
          <w:sz w:val="24"/>
          <w:szCs w:val="24"/>
          <w:lang w:val="fr-FR"/>
        </w:rPr>
        <w:t>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est l'</w:t>
      </w:r>
      <w:r>
        <w:rPr>
          <w:rFonts w:asciiTheme="majorHAnsi" w:hAnsiTheme="majorHAnsi" w:cstheme="majorHAnsi"/>
          <w:sz w:val="24"/>
          <w:szCs w:val="24"/>
          <w:lang w:val="fr-FR"/>
        </w:rPr>
        <w:t> « 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anoxie</w:t>
      </w:r>
      <w:r>
        <w:rPr>
          <w:rFonts w:asciiTheme="majorHAnsi" w:hAnsiTheme="majorHAnsi" w:cstheme="majorHAnsi"/>
          <w:sz w:val="24"/>
          <w:szCs w:val="24"/>
          <w:lang w:val="fr-FR"/>
        </w:rPr>
        <w:t> », c'est-à-dire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>l'utilisation de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chambres de traitement </w:t>
      </w:r>
      <w:r>
        <w:rPr>
          <w:rFonts w:asciiTheme="majorHAnsi" w:hAnsiTheme="majorHAnsi" w:cstheme="majorHAnsi"/>
          <w:sz w:val="24"/>
          <w:szCs w:val="24"/>
          <w:lang w:val="fr-FR"/>
        </w:rPr>
        <w:t>en atmosphère contrôlée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à très faible teneur en oxygène, 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où </w:t>
      </w:r>
      <w:r w:rsidRPr="00A237C7">
        <w:rPr>
          <w:rFonts w:asciiTheme="majorHAnsi" w:hAnsiTheme="majorHAnsi" w:cstheme="majorHAnsi"/>
          <w:b/>
          <w:sz w:val="24"/>
          <w:szCs w:val="24"/>
          <w:lang w:val="fr-FR"/>
        </w:rPr>
        <w:t xml:space="preserve">l'azote est généré </w:t>
      </w:r>
      <w:r w:rsidRPr="005A4B16">
        <w:rPr>
          <w:rFonts w:asciiTheme="majorHAnsi" w:hAnsiTheme="majorHAnsi" w:cstheme="majorHAnsi"/>
          <w:b/>
          <w:i/>
          <w:sz w:val="24"/>
          <w:szCs w:val="24"/>
          <w:lang w:val="fr-FR"/>
        </w:rPr>
        <w:t>in situ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3B4C91CA" w14:textId="77777777" w:rsidR="00430A8E" w:rsidRPr="00281153" w:rsidRDefault="00430A8E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0381B9B8" w14:textId="77777777" w:rsidR="00EC266F" w:rsidRPr="00A237C7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u w:val="single"/>
          <w:lang w:val="fr-FR"/>
        </w:rPr>
        <w:t>La question de la législation de l'UE</w:t>
      </w:r>
    </w:p>
    <w:p w14:paraId="22BE7853" w14:textId="77777777" w:rsidR="00EC266F" w:rsidRPr="00A237C7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Depuis l'enregistrement obligatoire de l'utilisation de l'azote à des fins de désinfection par le règlement UE 528/2012 sur les produits biocides en septembre 2017, une seule méthode d'utilisation de l'azote (ainsi que plusieurs autres restrictions) a été reconnue et incluse : l'azote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stockée </w:t>
      </w:r>
      <w:r w:rsidR="00CE3F22">
        <w:rPr>
          <w:rFonts w:asciiTheme="majorHAnsi" w:hAnsiTheme="majorHAnsi" w:cstheme="majorHAnsi"/>
          <w:sz w:val="24"/>
          <w:szCs w:val="24"/>
          <w:lang w:val="fr-FR"/>
        </w:rPr>
        <w:t>sous forme de bidons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. L'azote produit in situ </w:t>
      </w:r>
      <w:r w:rsidR="00CE3F22">
        <w:rPr>
          <w:rFonts w:asciiTheme="majorHAnsi" w:hAnsiTheme="majorHAnsi" w:cstheme="majorHAnsi"/>
          <w:sz w:val="24"/>
          <w:szCs w:val="24"/>
          <w:lang w:val="fr-FR"/>
        </w:rPr>
        <w:t>n’est plus autorisée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. L'interdiction de l'azote n'est pas justifiée pour des raisons de santé et de préjudice économique pour le marché des acteurs européens de la lutte intégrée contre les ravageurs (IPM).</w:t>
      </w:r>
    </w:p>
    <w:p w14:paraId="001ACFA3" w14:textId="77777777" w:rsidR="00EC266F" w:rsidRDefault="00EC266F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1F9C5EA2" w14:textId="77777777" w:rsidR="00CE3F22" w:rsidRPr="00A237C7" w:rsidRDefault="00CE3F22" w:rsidP="002811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sz w:val="24"/>
          <w:szCs w:val="24"/>
          <w:lang w:val="fr-FR"/>
        </w:rPr>
        <w:t>En raison de cette lacune juridique, les installations d'anoxie existantes en Europe ne peuvent plus êt</w:t>
      </w:r>
      <w:bookmarkStart w:id="0" w:name="_GoBack"/>
      <w:bookmarkEnd w:id="0"/>
      <w:r w:rsidRPr="00A237C7">
        <w:rPr>
          <w:rFonts w:asciiTheme="majorHAnsi" w:hAnsiTheme="majorHAnsi" w:cstheme="majorHAnsi"/>
          <w:sz w:val="24"/>
          <w:szCs w:val="24"/>
          <w:lang w:val="fr-FR"/>
        </w:rPr>
        <w:t>re exploitées légalement. En conséquence, les institutions du patrimoine culturel sont confrontées à un grave danger de dommages ou de pertes irrémédiables.</w:t>
      </w:r>
    </w:p>
    <w:p w14:paraId="4CE72C18" w14:textId="77777777" w:rsidR="00CE3F22" w:rsidRPr="00A237C7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29B8AB70" w14:textId="77777777" w:rsidR="00FC39D0" w:rsidRPr="00A237C7" w:rsidRDefault="00FC39D0" w:rsidP="00FC39D0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237C7">
        <w:rPr>
          <w:rFonts w:asciiTheme="majorHAnsi" w:hAnsiTheme="majorHAnsi" w:cstheme="majorHAnsi"/>
          <w:b/>
          <w:sz w:val="24"/>
          <w:szCs w:val="24"/>
          <w:lang w:val="fr-FR"/>
        </w:rPr>
        <w:t>J'invite donc instamment la Commission à autoriser une dérogation au titre de l'article 55, paragraphe 3, dans le RPB, aux États membres qui en font la demande,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>pour la raison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que cette méthode permet de traiter toute matière en toute sécurité, contrairement aux autres. L'azote produit </w:t>
      </w:r>
      <w:r w:rsidRPr="005A4B16">
        <w:rPr>
          <w:rFonts w:asciiTheme="majorHAnsi" w:hAnsiTheme="majorHAnsi" w:cstheme="majorHAnsi"/>
          <w:i/>
          <w:sz w:val="24"/>
          <w:szCs w:val="24"/>
          <w:lang w:val="fr-FR"/>
        </w:rPr>
        <w:t>in situ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est inoffensif et constitue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l'alternative la plus économique et la plus écologique à l'utilisation</w:t>
      </w:r>
      <w:r>
        <w:rPr>
          <w:rFonts w:asciiTheme="majorHAnsi" w:hAnsiTheme="majorHAnsi" w:cstheme="majorHAnsi"/>
          <w:sz w:val="24"/>
          <w:szCs w:val="24"/>
          <w:lang w:val="fr-FR"/>
        </w:rPr>
        <w:t>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actuellement autorisée</w:t>
      </w:r>
      <w:r>
        <w:rPr>
          <w:rFonts w:asciiTheme="majorHAnsi" w:hAnsiTheme="majorHAnsi" w:cstheme="majorHAnsi"/>
          <w:sz w:val="24"/>
          <w:szCs w:val="24"/>
          <w:lang w:val="fr-FR"/>
        </w:rPr>
        <w:t>,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de l'azote </w:t>
      </w:r>
      <w:r>
        <w:rPr>
          <w:rFonts w:asciiTheme="majorHAnsi" w:hAnsiTheme="majorHAnsi" w:cstheme="majorHAnsi"/>
          <w:sz w:val="24"/>
          <w:szCs w:val="24"/>
          <w:lang w:val="fr-FR"/>
        </w:rPr>
        <w:t>aux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 xml:space="preserve"> fin</w:t>
      </w:r>
      <w:r>
        <w:rPr>
          <w:rFonts w:asciiTheme="majorHAnsi" w:hAnsiTheme="majorHAnsi" w:cstheme="majorHAnsi"/>
          <w:sz w:val="24"/>
          <w:szCs w:val="24"/>
          <w:lang w:val="fr-FR"/>
        </w:rPr>
        <w:t>s de désinfestation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402DCAD5" w14:textId="77777777" w:rsidR="00CE3F22" w:rsidRPr="00CE3F22" w:rsidRDefault="00CE3F22" w:rsidP="0028115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fr-FR"/>
        </w:rPr>
      </w:pPr>
    </w:p>
    <w:p w14:paraId="05540A91" w14:textId="77777777" w:rsidR="00FC39D0" w:rsidRDefault="00FC39D0" w:rsidP="00FC39D0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D</w:t>
      </w:r>
      <w:r w:rsidRPr="00A237C7">
        <w:rPr>
          <w:rFonts w:asciiTheme="majorHAnsi" w:hAnsiTheme="majorHAnsi" w:cstheme="majorHAnsi"/>
          <w:sz w:val="24"/>
          <w:szCs w:val="24"/>
          <w:lang w:val="fr-FR"/>
        </w:rPr>
        <w:t>ans l’attente de votre réponse sur cette question</w:t>
      </w:r>
      <w:r>
        <w:rPr>
          <w:rFonts w:asciiTheme="majorHAnsi" w:hAnsiTheme="majorHAnsi" w:cstheme="majorHAnsi"/>
          <w:sz w:val="24"/>
          <w:szCs w:val="24"/>
          <w:lang w:val="fr-FR"/>
        </w:rPr>
        <w:t>, je vous prie d'agréer mes salutations cordiales.</w:t>
      </w:r>
    </w:p>
    <w:p w14:paraId="0567BB25" w14:textId="77777777" w:rsidR="00BB4EAC" w:rsidRPr="00A237C7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78321ED" w14:textId="77777777" w:rsidR="00BB4EAC" w:rsidRPr="00A237C7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20CEB07" w14:textId="04261AA5" w:rsidR="00156D9C" w:rsidRPr="00BB4EAC" w:rsidRDefault="00FC39D0" w:rsidP="00A237C7">
      <w:pPr>
        <w:spacing w:after="0"/>
        <w:jc w:val="both"/>
        <w:rPr>
          <w:rFonts w:asciiTheme="majorHAnsi" w:hAnsiTheme="majorHAnsi" w:cstheme="majorHAnsi"/>
          <w:lang w:val="en-US"/>
        </w:rPr>
      </w:pPr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 </w:t>
      </w:r>
      <w:proofErr w:type="gramStart"/>
      <w:r w:rsidR="00BB4EAC"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[  </w:t>
      </w:r>
      <w:r w:rsidR="00A237C7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nom</w:t>
      </w:r>
      <w:proofErr w:type="gramEnd"/>
      <w:r w:rsidR="00A237C7"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       </w:t>
      </w:r>
      <w:r w:rsidR="00BB4EAC"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]</w:t>
      </w:r>
    </w:p>
    <w:sectPr w:rsidR="00156D9C" w:rsidRPr="00BB4EAC" w:rsidSect="00A237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E"/>
    <w:rsid w:val="00110037"/>
    <w:rsid w:val="00156D9C"/>
    <w:rsid w:val="002337D3"/>
    <w:rsid w:val="00234C0C"/>
    <w:rsid w:val="00281153"/>
    <w:rsid w:val="003B0717"/>
    <w:rsid w:val="00430A8E"/>
    <w:rsid w:val="004C73FC"/>
    <w:rsid w:val="00844F80"/>
    <w:rsid w:val="00A237C7"/>
    <w:rsid w:val="00A93016"/>
    <w:rsid w:val="00AC5E59"/>
    <w:rsid w:val="00BB4EAC"/>
    <w:rsid w:val="00CE3F22"/>
    <w:rsid w:val="00D23DD9"/>
    <w:rsid w:val="00DA0965"/>
    <w:rsid w:val="00DC22EF"/>
    <w:rsid w:val="00E47530"/>
    <w:rsid w:val="00EC266F"/>
    <w:rsid w:val="00FC39D0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713D"/>
  <w15:docId w15:val="{485DD7A7-8CB0-444C-81AC-17B5E9E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8E"/>
  </w:style>
  <w:style w:type="paragraph" w:styleId="Titre1">
    <w:name w:val="heading 1"/>
    <w:basedOn w:val="Normal"/>
    <w:next w:val="Normal"/>
    <w:link w:val="Titre1Car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/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Laura MAXWELL</cp:lastModifiedBy>
  <cp:revision>3</cp:revision>
  <dcterms:created xsi:type="dcterms:W3CDTF">2019-12-04T11:35:00Z</dcterms:created>
  <dcterms:modified xsi:type="dcterms:W3CDTF">2019-12-12T10:49:00Z</dcterms:modified>
</cp:coreProperties>
</file>