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ECDA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en-US" w:eastAsia="da-DK"/>
        </w:rPr>
      </w:pPr>
      <w:r w:rsidRPr="00BB4EAC">
        <w:rPr>
          <w:rFonts w:asciiTheme="majorHAnsi" w:eastAsia="Calibri" w:hAnsiTheme="majorHAnsi" w:cstheme="majorHAnsi"/>
          <w:bCs/>
          <w:color w:val="808080" w:themeColor="background1" w:themeShade="80"/>
          <w:lang w:val="en-US" w:eastAsia="da-DK"/>
        </w:rPr>
        <w:t>[ Sender: name, institution/organisation,</w:t>
      </w:r>
    </w:p>
    <w:p w14:paraId="270C477B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en-US" w:eastAsia="da-DK"/>
        </w:rPr>
      </w:pPr>
      <w:r w:rsidRPr="00BB4EAC">
        <w:rPr>
          <w:rFonts w:asciiTheme="majorHAnsi" w:eastAsia="Calibri" w:hAnsiTheme="majorHAnsi" w:cstheme="majorHAnsi"/>
          <w:bCs/>
          <w:color w:val="808080" w:themeColor="background1" w:themeShade="80"/>
          <w:lang w:val="en-US" w:eastAsia="da-DK"/>
        </w:rPr>
        <w:t>letterhead of org. if possible</w:t>
      </w:r>
    </w:p>
    <w:p w14:paraId="1D1EFCD2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en-US" w:eastAsia="da-DK"/>
        </w:rPr>
      </w:pPr>
      <w:r w:rsidRPr="00BB4EAC">
        <w:rPr>
          <w:rFonts w:asciiTheme="majorHAnsi" w:eastAsia="Calibri" w:hAnsiTheme="majorHAnsi" w:cstheme="majorHAnsi"/>
          <w:bCs/>
          <w:color w:val="808080" w:themeColor="background1" w:themeShade="80"/>
          <w:lang w:val="en-US" w:eastAsia="da-DK"/>
        </w:rPr>
        <w:t>Address, Country]</w:t>
      </w:r>
      <w:r>
        <w:rPr>
          <w:rFonts w:asciiTheme="majorHAnsi" w:eastAsia="Calibri" w:hAnsiTheme="majorHAnsi" w:cstheme="majorHAnsi"/>
          <w:bCs/>
          <w:color w:val="000000"/>
          <w:lang w:val="en-US" w:eastAsia="da-DK"/>
        </w:rPr>
        <w:tab/>
        <w:t xml:space="preserve"> </w:t>
      </w:r>
      <w:r>
        <w:rPr>
          <w:rFonts w:asciiTheme="majorHAnsi" w:eastAsia="Calibri" w:hAnsiTheme="majorHAnsi" w:cstheme="majorHAnsi"/>
          <w:bCs/>
          <w:color w:val="000000"/>
          <w:lang w:val="en-US" w:eastAsia="da-DK"/>
        </w:rPr>
        <w:tab/>
      </w:r>
      <w:r>
        <w:rPr>
          <w:rFonts w:asciiTheme="majorHAnsi" w:eastAsia="Calibri" w:hAnsiTheme="majorHAnsi" w:cstheme="majorHAnsi"/>
          <w:bCs/>
          <w:color w:val="000000"/>
          <w:lang w:val="en-US" w:eastAsia="da-DK"/>
        </w:rPr>
        <w:tab/>
      </w:r>
      <w:r>
        <w:rPr>
          <w:rFonts w:asciiTheme="majorHAnsi" w:eastAsia="Calibri" w:hAnsiTheme="majorHAnsi" w:cstheme="majorHAnsi"/>
          <w:bCs/>
          <w:color w:val="000000"/>
          <w:lang w:val="en-US" w:eastAsia="da-DK"/>
        </w:rPr>
        <w:tab/>
      </w:r>
      <w:r w:rsidRPr="00BB4EAC">
        <w:rPr>
          <w:rFonts w:asciiTheme="majorHAnsi" w:eastAsia="Calibri" w:hAnsiTheme="majorHAnsi" w:cstheme="majorHAnsi"/>
          <w:bCs/>
          <w:color w:val="808080" w:themeColor="background1" w:themeShade="80"/>
          <w:lang w:val="en-US" w:eastAsia="da-DK"/>
        </w:rPr>
        <w:t>[date                ]</w:t>
      </w:r>
    </w:p>
    <w:p w14:paraId="48D5D489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n-US" w:eastAsia="da-DK"/>
        </w:rPr>
      </w:pPr>
    </w:p>
    <w:p w14:paraId="4E477A37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n-US" w:eastAsia="da-DK"/>
        </w:rPr>
      </w:pPr>
    </w:p>
    <w:p w14:paraId="27285FC8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n-US" w:eastAsia="da-DK"/>
        </w:rPr>
      </w:pPr>
    </w:p>
    <w:p w14:paraId="52EF404A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n-US" w:eastAsia="da-DK"/>
        </w:rPr>
      </w:pPr>
      <w:r w:rsidRPr="00BB4EAC">
        <w:rPr>
          <w:rFonts w:asciiTheme="majorHAnsi" w:eastAsia="Calibri" w:hAnsiTheme="majorHAnsi" w:cstheme="majorHAnsi"/>
          <w:bCs/>
          <w:color w:val="000000"/>
          <w:lang w:val="en-US" w:eastAsia="da-DK"/>
        </w:rPr>
        <w:t xml:space="preserve">European Commission DG </w:t>
      </w:r>
    </w:p>
    <w:p w14:paraId="3F823F68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n-US" w:eastAsia="da-DK"/>
        </w:rPr>
      </w:pPr>
      <w:r w:rsidRPr="00BB4EAC">
        <w:rPr>
          <w:rFonts w:asciiTheme="majorHAnsi" w:eastAsia="Calibri" w:hAnsiTheme="majorHAnsi" w:cstheme="majorHAnsi"/>
          <w:bCs/>
          <w:color w:val="000000"/>
          <w:lang w:val="en-US" w:eastAsia="da-DK"/>
        </w:rPr>
        <w:t xml:space="preserve">SANTE Unit E.4 – </w:t>
      </w:r>
    </w:p>
    <w:p w14:paraId="02C76189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n-US" w:eastAsia="da-DK"/>
        </w:rPr>
      </w:pPr>
      <w:r w:rsidRPr="00BB4EAC">
        <w:rPr>
          <w:rFonts w:asciiTheme="majorHAnsi" w:eastAsia="Calibri" w:hAnsiTheme="majorHAnsi" w:cstheme="majorHAnsi"/>
          <w:bCs/>
          <w:color w:val="000000"/>
          <w:lang w:val="en-US" w:eastAsia="da-DK"/>
        </w:rPr>
        <w:t xml:space="preserve">Pesticides and Biocides F101 05/068 </w:t>
      </w:r>
    </w:p>
    <w:p w14:paraId="35F575B3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n-US" w:eastAsia="da-DK"/>
        </w:rPr>
      </w:pPr>
      <w:r w:rsidRPr="00BB4EAC">
        <w:rPr>
          <w:rFonts w:asciiTheme="majorHAnsi" w:eastAsia="Calibri" w:hAnsiTheme="majorHAnsi" w:cstheme="majorHAnsi"/>
          <w:bCs/>
          <w:color w:val="000000"/>
          <w:lang w:val="en-US" w:eastAsia="da-DK"/>
        </w:rPr>
        <w:t xml:space="preserve">1049 Brussels </w:t>
      </w:r>
    </w:p>
    <w:p w14:paraId="24B11EF6" w14:textId="77777777" w:rsidR="00BB4EAC" w:rsidRPr="00BB4EAC" w:rsidRDefault="00BB4EAC" w:rsidP="00BB4EAC">
      <w:pPr>
        <w:pStyle w:val="Heading1"/>
        <w:spacing w:before="0"/>
        <w:rPr>
          <w:rFonts w:cstheme="majorHAnsi"/>
          <w:sz w:val="22"/>
          <w:szCs w:val="22"/>
          <w:lang w:val="en-US"/>
        </w:rPr>
      </w:pPr>
      <w:r w:rsidRPr="00BB4EAC">
        <w:rPr>
          <w:rFonts w:eastAsia="Calibri" w:cstheme="majorHAnsi"/>
          <w:bCs/>
          <w:color w:val="auto"/>
          <w:sz w:val="22"/>
          <w:szCs w:val="22"/>
          <w:lang w:val="en-US" w:eastAsia="da-DK"/>
        </w:rPr>
        <w:t>Belgium</w:t>
      </w:r>
    </w:p>
    <w:p w14:paraId="39FD800F" w14:textId="77777777" w:rsidR="00BB4EAC" w:rsidRDefault="00BB4EAC" w:rsidP="00BB4EAC">
      <w:pPr>
        <w:pStyle w:val="Heading2"/>
        <w:rPr>
          <w:b/>
          <w:lang w:val="en-US"/>
        </w:rPr>
      </w:pPr>
    </w:p>
    <w:p w14:paraId="4D269E3C" w14:textId="77777777" w:rsidR="00430A8E" w:rsidRPr="00BB4EAC" w:rsidRDefault="00DA0965" w:rsidP="00BB4EAC">
      <w:pPr>
        <w:pStyle w:val="Heading2"/>
        <w:rPr>
          <w:b/>
          <w:lang w:val="en-US"/>
        </w:rPr>
      </w:pPr>
      <w:r w:rsidRPr="00BB4EAC">
        <w:rPr>
          <w:b/>
          <w:lang w:val="en-US"/>
        </w:rPr>
        <w:t xml:space="preserve">Appeal for the cultural heritage collections: </w:t>
      </w:r>
      <w:r w:rsidR="00430A8E" w:rsidRPr="00BB4EAC">
        <w:rPr>
          <w:b/>
          <w:lang w:val="en-US"/>
        </w:rPr>
        <w:t>Allow a derogation of t</w:t>
      </w:r>
      <w:r w:rsidRPr="00BB4EAC">
        <w:rPr>
          <w:b/>
          <w:lang w:val="en-US"/>
        </w:rPr>
        <w:t>he nitrogen ban (EU 528/2012)</w:t>
      </w:r>
    </w:p>
    <w:p w14:paraId="5D913505" w14:textId="77777777" w:rsidR="00430A8E" w:rsidRPr="00BB4EAC" w:rsidRDefault="00D23DD9" w:rsidP="007D58EB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Memory institutions, m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>useum</w:t>
      </w:r>
      <w:r>
        <w:rPr>
          <w:rFonts w:asciiTheme="majorHAnsi" w:hAnsiTheme="majorHAnsi" w:cstheme="majorHAnsi"/>
          <w:sz w:val="24"/>
          <w:szCs w:val="24"/>
          <w:lang w:val="en-US"/>
        </w:rPr>
        <w:t>s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>and monuments</w:t>
      </w:r>
      <w:r w:rsidR="004C73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are frequently challenged by pests due to </w:t>
      </w:r>
      <w:r w:rsidR="002337D3" w:rsidRPr="002337D3">
        <w:rPr>
          <w:rFonts w:asciiTheme="majorHAnsi" w:hAnsiTheme="majorHAnsi" w:cstheme="majorHAnsi"/>
          <w:sz w:val="24"/>
          <w:szCs w:val="24"/>
          <w:lang w:val="en-US"/>
        </w:rPr>
        <w:t>various forms of contamination</w:t>
      </w:r>
      <w:r w:rsidR="002337D3">
        <w:rPr>
          <w:rFonts w:asciiTheme="majorHAnsi" w:hAnsiTheme="majorHAnsi" w:cstheme="majorHAnsi"/>
          <w:sz w:val="24"/>
          <w:szCs w:val="24"/>
          <w:lang w:val="en-US"/>
        </w:rPr>
        <w:t xml:space="preserve"> and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chang</w:t>
      </w:r>
      <w:r>
        <w:rPr>
          <w:rFonts w:asciiTheme="majorHAnsi" w:hAnsiTheme="majorHAnsi" w:cstheme="majorHAnsi"/>
          <w:sz w:val="24"/>
          <w:szCs w:val="24"/>
          <w:lang w:val="en-US"/>
        </w:rPr>
        <w:t>ing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climatic conditions. </w:t>
      </w:r>
    </w:p>
    <w:p w14:paraId="26ABD6C3" w14:textId="77777777" w:rsidR="00430A8E" w:rsidRPr="00BB4EAC" w:rsidRDefault="00430A8E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B4EAC">
        <w:rPr>
          <w:rFonts w:asciiTheme="majorHAnsi" w:hAnsiTheme="majorHAnsi" w:cstheme="majorHAnsi"/>
          <w:sz w:val="24"/>
          <w:szCs w:val="24"/>
          <w:lang w:val="en-US"/>
        </w:rPr>
        <w:t>One of the most versatile and environmentally friendly methods</w:t>
      </w:r>
      <w:r w:rsidR="00D23DD9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D23DD9" w:rsidRPr="00BB4EAC">
        <w:rPr>
          <w:rFonts w:asciiTheme="majorHAnsi" w:hAnsiTheme="majorHAnsi" w:cstheme="majorHAnsi"/>
          <w:sz w:val="24"/>
          <w:szCs w:val="24"/>
          <w:lang w:val="en-US"/>
        </w:rPr>
        <w:t>where the use of hazardous chemicals is avoided</w:t>
      </w:r>
      <w:r w:rsidR="00D23DD9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for disinfection purposes </w:t>
      </w:r>
      <w:r w:rsidR="00E47530">
        <w:rPr>
          <w:rFonts w:asciiTheme="majorHAnsi" w:hAnsiTheme="majorHAnsi" w:cstheme="majorHAnsi"/>
          <w:sz w:val="24"/>
          <w:szCs w:val="24"/>
          <w:lang w:val="en-US"/>
        </w:rPr>
        <w:t>are</w:t>
      </w:r>
      <w:r w:rsidR="00E47530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“anoxia” or controlled atmospheres with an extremely low content of oxygen in treatment chambers where </w:t>
      </w:r>
      <w:r w:rsidRPr="00BB4EAC">
        <w:rPr>
          <w:rFonts w:asciiTheme="majorHAnsi" w:hAnsiTheme="majorHAnsi" w:cstheme="majorHAnsi"/>
          <w:b/>
          <w:sz w:val="24"/>
          <w:szCs w:val="24"/>
          <w:lang w:val="en-US"/>
        </w:rPr>
        <w:t>nitrogen is generated in situ</w:t>
      </w: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for anoxic insect disinfestation of cultural heritage objects</w:t>
      </w:r>
      <w:r w:rsidR="00E47530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295AB76E" w14:textId="77777777" w:rsidR="00430A8E" w:rsidRPr="00BB4EAC" w:rsidRDefault="00430A8E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  <w:lang w:val="en-US"/>
        </w:rPr>
      </w:pPr>
    </w:p>
    <w:p w14:paraId="183BC078" w14:textId="77777777" w:rsidR="00430A8E" w:rsidRPr="00BB4EAC" w:rsidRDefault="00430A8E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  <w:lang w:val="en-US"/>
        </w:rPr>
      </w:pPr>
      <w:r w:rsidRPr="00BB4EAC">
        <w:rPr>
          <w:rFonts w:asciiTheme="majorHAnsi" w:hAnsiTheme="majorHAnsi" w:cstheme="majorHAnsi"/>
          <w:sz w:val="24"/>
          <w:szCs w:val="24"/>
          <w:u w:val="single"/>
          <w:lang w:val="en-US"/>
        </w:rPr>
        <w:t>The EU legislation issue</w:t>
      </w:r>
    </w:p>
    <w:p w14:paraId="47537656" w14:textId="70804AE7" w:rsidR="00430A8E" w:rsidRPr="00BB4EAC" w:rsidRDefault="00430A8E" w:rsidP="007D58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lang w:val="en-US"/>
        </w:rPr>
      </w:pP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Since the mandatory registration of the use of nitrogen for disinfection purposes by the biocidal products regulation EU 528/2012 in September 2017, only one method of using nitrogen (along with several other restrictions) was acknowledged and included: nitrogen in canisters. </w:t>
      </w:r>
      <w:r w:rsidR="003B0717">
        <w:rPr>
          <w:rFonts w:asciiTheme="majorHAnsi" w:hAnsiTheme="majorHAnsi" w:cstheme="majorHAnsi"/>
          <w:sz w:val="24"/>
          <w:szCs w:val="24"/>
          <w:lang w:val="en-US"/>
        </w:rPr>
        <w:t>I</w:t>
      </w: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n situ generated nitrogen fell out. </w:t>
      </w:r>
      <w:r w:rsidR="00D23DD9" w:rsidRPr="00BB4EAC">
        <w:rPr>
          <w:rFonts w:asciiTheme="majorHAnsi" w:hAnsiTheme="majorHAnsi" w:cstheme="majorHAnsi"/>
          <w:sz w:val="24"/>
          <w:szCs w:val="24"/>
          <w:lang w:val="en-US"/>
        </w:rPr>
        <w:t>The nitrogen ban is not justified for health aspects</w:t>
      </w:r>
      <w:r w:rsidR="00E47530">
        <w:rPr>
          <w:rFonts w:asciiTheme="majorHAnsi" w:hAnsiTheme="majorHAnsi" w:cstheme="majorHAnsi"/>
          <w:sz w:val="24"/>
          <w:szCs w:val="24"/>
          <w:lang w:val="en-US"/>
        </w:rPr>
        <w:t xml:space="preserve"> and</w:t>
      </w:r>
      <w:r w:rsidR="00E47530" w:rsidRPr="00E47530">
        <w:rPr>
          <w:rFonts w:asciiTheme="majorHAnsi" w:hAnsiTheme="majorHAnsi" w:cstheme="majorHAnsi"/>
          <w:sz w:val="24"/>
          <w:szCs w:val="24"/>
          <w:lang w:val="en-US"/>
        </w:rPr>
        <w:t xml:space="preserve"> economically damaging the market of European stakeho</w:t>
      </w:r>
      <w:r w:rsidR="00E47530">
        <w:rPr>
          <w:rFonts w:asciiTheme="majorHAnsi" w:hAnsiTheme="majorHAnsi" w:cstheme="majorHAnsi"/>
          <w:sz w:val="24"/>
          <w:szCs w:val="24"/>
          <w:lang w:val="en-US"/>
        </w:rPr>
        <w:t xml:space="preserve">lders in the integrated pest </w:t>
      </w:r>
      <w:r w:rsidR="00E47530" w:rsidRPr="00E47530">
        <w:rPr>
          <w:rFonts w:asciiTheme="majorHAnsi" w:hAnsiTheme="majorHAnsi" w:cstheme="majorHAnsi"/>
          <w:sz w:val="24"/>
          <w:szCs w:val="24"/>
          <w:lang w:val="en-US"/>
        </w:rPr>
        <w:t>man</w:t>
      </w:r>
      <w:r w:rsidR="00DC1A8E">
        <w:rPr>
          <w:rFonts w:asciiTheme="majorHAnsi" w:hAnsiTheme="majorHAnsi" w:cstheme="majorHAnsi"/>
          <w:sz w:val="24"/>
          <w:szCs w:val="24"/>
          <w:lang w:val="en-US"/>
        </w:rPr>
        <w:t>a</w:t>
      </w:r>
      <w:r w:rsidR="00E47530" w:rsidRPr="00E47530">
        <w:rPr>
          <w:rFonts w:asciiTheme="majorHAnsi" w:hAnsiTheme="majorHAnsi" w:cstheme="majorHAnsi"/>
          <w:sz w:val="24"/>
          <w:szCs w:val="24"/>
          <w:lang w:val="en-US"/>
        </w:rPr>
        <w:t>gement (IPM) busine</w:t>
      </w:r>
      <w:r w:rsidR="00E47530">
        <w:rPr>
          <w:rFonts w:asciiTheme="majorHAnsi" w:hAnsiTheme="majorHAnsi" w:cstheme="majorHAnsi"/>
          <w:sz w:val="24"/>
          <w:szCs w:val="24"/>
          <w:lang w:val="en-US"/>
        </w:rPr>
        <w:t>ss.</w:t>
      </w:r>
    </w:p>
    <w:p w14:paraId="67EFAAAA" w14:textId="77777777" w:rsidR="00430A8E" w:rsidRPr="00BB4EAC" w:rsidRDefault="00430A8E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70732B66" w14:textId="77777777" w:rsidR="00430A8E" w:rsidRPr="00BB4EAC" w:rsidRDefault="00430A8E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B4EAC">
        <w:rPr>
          <w:rFonts w:asciiTheme="majorHAnsi" w:hAnsiTheme="majorHAnsi" w:cstheme="majorHAnsi"/>
          <w:sz w:val="24"/>
          <w:szCs w:val="24"/>
          <w:lang w:val="en-US"/>
        </w:rPr>
        <w:t>Because of this juridical flaw, existing anoxia facilities in Europe can no longer be operated</w:t>
      </w:r>
      <w:r w:rsidR="00D23DD9">
        <w:rPr>
          <w:rFonts w:asciiTheme="majorHAnsi" w:hAnsiTheme="majorHAnsi" w:cstheme="majorHAnsi"/>
          <w:sz w:val="24"/>
          <w:szCs w:val="24"/>
          <w:lang w:val="en-US"/>
        </w:rPr>
        <w:t xml:space="preserve"> legally</w:t>
      </w: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. As a result, cultural heritage institutions are facing </w:t>
      </w:r>
      <w:r w:rsidR="00D23DD9">
        <w:rPr>
          <w:rFonts w:asciiTheme="majorHAnsi" w:hAnsiTheme="majorHAnsi" w:cstheme="majorHAnsi"/>
          <w:sz w:val="24"/>
          <w:szCs w:val="24"/>
          <w:lang w:val="en-US"/>
        </w:rPr>
        <w:t>an</w:t>
      </w:r>
      <w:r w:rsidR="00D23DD9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acute danger </w:t>
      </w:r>
      <w:r w:rsidR="00D23DD9">
        <w:rPr>
          <w:rFonts w:asciiTheme="majorHAnsi" w:hAnsiTheme="majorHAnsi" w:cstheme="majorHAnsi"/>
          <w:sz w:val="24"/>
          <w:szCs w:val="24"/>
          <w:lang w:val="en-US"/>
        </w:rPr>
        <w:t xml:space="preserve">of damage or irretrievable loss. </w:t>
      </w:r>
    </w:p>
    <w:p w14:paraId="0D54DAA0" w14:textId="77777777" w:rsidR="00430A8E" w:rsidRPr="00BB4EAC" w:rsidRDefault="00430A8E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0B53D544" w14:textId="77777777" w:rsidR="00D23DD9" w:rsidRDefault="00D23DD9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93016">
        <w:rPr>
          <w:rFonts w:asciiTheme="majorHAnsi" w:hAnsiTheme="majorHAnsi" w:cstheme="majorHAnsi"/>
          <w:b/>
          <w:sz w:val="24"/>
          <w:szCs w:val="24"/>
          <w:lang w:val="en-US"/>
        </w:rPr>
        <w:t xml:space="preserve">I </w:t>
      </w:r>
      <w:r w:rsidR="00430A8E" w:rsidRPr="00A93016">
        <w:rPr>
          <w:rFonts w:asciiTheme="majorHAnsi" w:hAnsiTheme="majorHAnsi" w:cstheme="majorHAnsi"/>
          <w:b/>
          <w:sz w:val="24"/>
          <w:szCs w:val="24"/>
          <w:lang w:val="en-US"/>
        </w:rPr>
        <w:t>therefore strongly urge the Commission to allow for a derogation under art. 55(3) in the BPR to be granted those Member States applying</w:t>
      </w:r>
      <w:r w:rsidR="003B0717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because this method allows any material to be safely treated</w:t>
      </w:r>
      <w:r w:rsidR="003B0717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contrary to the alternatives</w:t>
      </w:r>
      <w:r w:rsidR="00DC22EF">
        <w:rPr>
          <w:rFonts w:asciiTheme="majorHAnsi" w:hAnsiTheme="majorHAnsi" w:cstheme="majorHAnsi"/>
          <w:sz w:val="24"/>
          <w:szCs w:val="24"/>
          <w:lang w:val="en-US"/>
        </w:rPr>
        <w:t>. I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>n situ generated nitrogen is harmless, the most economic and environmentally friendly alternative to the presently allowed use of nitrogen for this purpose.</w:t>
      </w:r>
    </w:p>
    <w:p w14:paraId="2A293A77" w14:textId="77777777" w:rsidR="00D23DD9" w:rsidRDefault="00D23DD9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0AB4B9E1" w14:textId="77777777" w:rsidR="00430A8E" w:rsidRDefault="00D23DD9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D23DD9">
        <w:rPr>
          <w:rFonts w:asciiTheme="majorHAnsi" w:hAnsiTheme="majorHAnsi" w:cstheme="majorHAnsi"/>
          <w:sz w:val="24"/>
          <w:szCs w:val="24"/>
          <w:lang w:val="en-US"/>
        </w:rPr>
        <w:t>I look forward to hearing from you on this important matter.</w:t>
      </w:r>
    </w:p>
    <w:p w14:paraId="524BADA0" w14:textId="77777777" w:rsidR="00BB4EAC" w:rsidRDefault="00BB4EAC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3C50B881" w14:textId="77777777" w:rsidR="00BB4EAC" w:rsidRDefault="00BB4EAC" w:rsidP="00430A8E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7FC2FD7C" w14:textId="77777777" w:rsidR="00BB4EAC" w:rsidRDefault="00BB4EAC" w:rsidP="00430A8E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Sincerely, </w:t>
      </w:r>
    </w:p>
    <w:p w14:paraId="768368F7" w14:textId="77777777" w:rsidR="00BB4EAC" w:rsidRPr="00BB4EAC" w:rsidRDefault="00BB4EAC" w:rsidP="00430A8E">
      <w:pPr>
        <w:spacing w:after="0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n-US"/>
        </w:rPr>
      </w:pPr>
      <w:r w:rsidRPr="00BB4EAC"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n-US"/>
        </w:rPr>
        <w:t>[  name        ]</w:t>
      </w:r>
      <w:bookmarkStart w:id="0" w:name="_GoBack"/>
      <w:bookmarkEnd w:id="0"/>
    </w:p>
    <w:p w14:paraId="2A5ED3BA" w14:textId="77777777" w:rsidR="00156D9C" w:rsidRPr="00BB4EAC" w:rsidRDefault="00156D9C">
      <w:pPr>
        <w:rPr>
          <w:rFonts w:asciiTheme="majorHAnsi" w:hAnsiTheme="majorHAnsi" w:cstheme="majorHAnsi"/>
          <w:lang w:val="en-US"/>
        </w:rPr>
      </w:pPr>
    </w:p>
    <w:sectPr w:rsidR="00156D9C" w:rsidRPr="00BB4E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8E"/>
    <w:rsid w:val="00110037"/>
    <w:rsid w:val="00156D9C"/>
    <w:rsid w:val="002337D3"/>
    <w:rsid w:val="00234C0C"/>
    <w:rsid w:val="003B0717"/>
    <w:rsid w:val="00430A8E"/>
    <w:rsid w:val="004C73FC"/>
    <w:rsid w:val="007D58EB"/>
    <w:rsid w:val="00844F80"/>
    <w:rsid w:val="00A93016"/>
    <w:rsid w:val="00BB4EAC"/>
    <w:rsid w:val="00D23DD9"/>
    <w:rsid w:val="00DA0965"/>
    <w:rsid w:val="00DC1A8E"/>
    <w:rsid w:val="00DC22EF"/>
    <w:rsid w:val="00E4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0307"/>
  <w15:docId w15:val="{54965047-CB87-4E99-BA94-02D7E356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8E"/>
  </w:style>
  <w:style w:type="paragraph" w:styleId="Heading1">
    <w:name w:val="heading 1"/>
    <w:basedOn w:val="Normal"/>
    <w:next w:val="Normal"/>
    <w:link w:val="Heading1Char"/>
    <w:uiPriority w:val="9"/>
    <w:qFormat/>
    <w:rsid w:val="00DA0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4E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1702</Characters>
  <Application>Microsoft Office Word</Application>
  <DocSecurity>0</DocSecurity>
  <Lines>50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4" baseType="lpstr">
      <vt:lpstr/>
      <vt:lpstr>Belgium</vt:lpstr>
      <vt:lpstr>    </vt:lpstr>
      <vt:lpstr>    Appeal for the cultural heritage collections: Allow a derogation of the nitrogen</vt:lpstr>
    </vt:vector>
  </TitlesOfParts>
  <Company>Nationalmuseet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Strætkvern, Kristiane</dc:creator>
  <cp:lastModifiedBy>Susanne POVERLEIN</cp:lastModifiedBy>
  <cp:revision>3</cp:revision>
  <dcterms:created xsi:type="dcterms:W3CDTF">2019-12-04T09:23:00Z</dcterms:created>
  <dcterms:modified xsi:type="dcterms:W3CDTF">2019-12-04T11:25:00Z</dcterms:modified>
</cp:coreProperties>
</file>